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CE4D" w14:textId="0BEF5CF1" w:rsidR="00E505E8" w:rsidRDefault="00C46598">
      <w:pPr>
        <w:pStyle w:val="Heading20"/>
        <w:keepNext/>
        <w:keepLines/>
      </w:pPr>
      <w:bookmarkStart w:id="0" w:name="bookmark78"/>
      <w:bookmarkStart w:id="1" w:name="bookmark79"/>
      <w:bookmarkStart w:id="2" w:name="bookmark80"/>
      <w:bookmarkStart w:id="3" w:name="_GoBack"/>
      <w:bookmarkEnd w:id="3"/>
      <w:r>
        <w:t>мотиви</w:t>
      </w:r>
      <w:bookmarkEnd w:id="0"/>
      <w:bookmarkEnd w:id="1"/>
      <w:bookmarkEnd w:id="2"/>
    </w:p>
    <w:p w14:paraId="65884F17" w14:textId="77777777" w:rsidR="00E505E8" w:rsidRDefault="00C46598">
      <w:pPr>
        <w:pStyle w:val="BodyText"/>
        <w:ind w:firstLine="0"/>
        <w:jc w:val="center"/>
      </w:pPr>
      <w:r>
        <w:t>към проект на Инструкция за изменение и допълнение на Инструкция № РД-02-21-1 от 16 април</w:t>
      </w:r>
      <w:r>
        <w:br/>
        <w:t>2020 г. за обмена на информация, условията и реда за достъп до информационни системи за</w:t>
      </w:r>
      <w:r>
        <w:br/>
        <w:t>целите на осъществяване на контрол, установяване и санкциониране на нарушения, свързани със</w:t>
      </w:r>
      <w:r>
        <w:br/>
        <w:t>събиране на пътни такси, между Агенция „Пътна инфраструктура“, Министерството на</w:t>
      </w:r>
      <w:r>
        <w:br/>
        <w:t>вътрешните работи и Агенция „Митници“</w:t>
      </w:r>
    </w:p>
    <w:p w14:paraId="394F0D82" w14:textId="4F3D9461" w:rsidR="00E505E8" w:rsidRDefault="00C46598">
      <w:pPr>
        <w:pStyle w:val="BodyText"/>
        <w:spacing w:after="460" w:line="206" w:lineRule="auto"/>
        <w:ind w:firstLine="0"/>
        <w:jc w:val="center"/>
      </w:pPr>
      <w:r>
        <w:t xml:space="preserve">(обн., ДВ, бр. 39 от 2020 г.; изм. </w:t>
      </w:r>
      <w:r w:rsidR="0009389E">
        <w:t xml:space="preserve">и доп., </w:t>
      </w:r>
      <w:r w:rsidR="004C29E1">
        <w:t>бр. 46 от 2025 г.)</w:t>
      </w:r>
      <w:r w:rsidR="004C29E1">
        <w:br/>
      </w:r>
    </w:p>
    <w:p w14:paraId="28C5FA23" w14:textId="77777777" w:rsidR="00E505E8" w:rsidRDefault="00C46598">
      <w:pPr>
        <w:pStyle w:val="BodyText"/>
        <w:ind w:firstLine="840"/>
        <w:jc w:val="both"/>
      </w:pPr>
      <w:r>
        <w:t>I. Причини, които налагат приемането на Инструкцията.</w:t>
      </w:r>
    </w:p>
    <w:p w14:paraId="4E19D63F" w14:textId="77777777" w:rsidR="00E505E8" w:rsidRDefault="00C46598">
      <w:pPr>
        <w:pStyle w:val="BodyText"/>
        <w:ind w:firstLine="840"/>
        <w:jc w:val="both"/>
      </w:pPr>
      <w:r>
        <w:t>Инструкция № РД-02-21-1 от 16 април 2020 г. за обмена на информация, условията и реда за достъп до информационни системи за целите на осъществяване на контрол, установяване и санкциониране на нарушения, свързани със събиране на пътни такси, между Агенция „Пътна инфраструктура“, Министерството на вътрешните работи и Агенция „Митници“ е издадена на основание чл. 167а, ал. 7 от в Закона за движението по пътищата (ЗДвП).</w:t>
      </w:r>
    </w:p>
    <w:p w14:paraId="503D1E4E" w14:textId="77777777" w:rsidR="00E505E8" w:rsidRDefault="00C46598">
      <w:pPr>
        <w:pStyle w:val="BodyText"/>
        <w:ind w:firstLine="840"/>
        <w:jc w:val="both"/>
      </w:pPr>
      <w:r>
        <w:t>С промени в ЗДвП, обнародвани в „Държавен вестник“ бр. 64 от 2025 г. бяха въведени нормативни изисквания и регламентация на нарушение на средна скорост. Беше предвидено нарушения за средна скорост да могат да бъдат установявани от определени от министъра на вътрешните работи служби за контрол, чрез техническите средства на електронната система на Агенция „Пътна инфраструктура“, като обмена на информацията за нуждите на контрола следва да се осъществява по реда на инструкцията по чл. 167а, ал. 7 от ЗДвП. Контролът на средната скорост позволява осъществяването на контрол в по-дълги участъци, за разлика от осъществявания контрол в определени точки, преди и след които водачите допускат превишавания на скоростта.</w:t>
      </w:r>
    </w:p>
    <w:p w14:paraId="53C073FF" w14:textId="73CB7A57" w:rsidR="00E505E8" w:rsidRDefault="00C46598">
      <w:pPr>
        <w:pStyle w:val="BodyText"/>
        <w:ind w:firstLine="960"/>
        <w:jc w:val="both"/>
      </w:pPr>
      <w:r>
        <w:t>Предлаганите промени произтичат и от промени в разпоредбата на чл. 16, ал. 1, т. 3</w:t>
      </w:r>
      <w:r w:rsidR="0009389E">
        <w:t>б</w:t>
      </w:r>
      <w:r>
        <w:t xml:space="preserve"> от Закона за митниците, об</w:t>
      </w:r>
      <w:r w:rsidR="0009389E">
        <w:t>н</w:t>
      </w:r>
      <w:r>
        <w:t xml:space="preserve">ародвани в бр. 64 на </w:t>
      </w:r>
      <w:r w:rsidR="0009389E">
        <w:t>„</w:t>
      </w:r>
      <w:r>
        <w:t>Държавен вестник</w:t>
      </w:r>
      <w:r w:rsidR="0009389E">
        <w:t>“</w:t>
      </w:r>
      <w:r>
        <w:t xml:space="preserve"> от 2025 г.</w:t>
      </w:r>
      <w:r w:rsidR="0009389E">
        <w:t>,</w:t>
      </w:r>
      <w:r>
        <w:t xml:space="preserve"> </w:t>
      </w:r>
      <w:r w:rsidR="0009389E">
        <w:t>с</w:t>
      </w:r>
      <w:r>
        <w:t>ъгласно които митническите органи имат право да получават данни необходими за осъществяване на митнически контрол и надзор върху стоките, транспортните средства и лицата на територията на Република България.</w:t>
      </w:r>
    </w:p>
    <w:p w14:paraId="192ED96D" w14:textId="77777777" w:rsidR="00E505E8" w:rsidRDefault="00C46598">
      <w:pPr>
        <w:pStyle w:val="BodyText"/>
        <w:ind w:firstLine="840"/>
        <w:jc w:val="both"/>
      </w:pPr>
      <w:r>
        <w:t xml:space="preserve">Други промени, направени със същото изменение на ЗДвП предвиждат органите на МВР да осъществяват контрол за наличие на сключена задължителна застраховка „Гражданска отговорност“ на автомобилистите чрез получаване на информация за движещите се по пътищата пътни превозни средства от електронната система по чл. 10, ал. 1 от Закона за пътищата. Предвидено е, че с цел осъществяване на контрол за наличие на сключен и действащ договор за задължителна застраховка „Гражданска отговорност“ на автомобилистите и осъществяване на административнонаказателна дейност от органите по чл. 165 от ЗДвП във връзка с чл. 638, ал. 4 или 6 от Кодекса за застраховането, Агенция „Пътна инфраструктура“ предоставя на Министерството на вътрешните работи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преминали по платената пътна мрежа на Република България. Министерството на вътрешните работи от своя страна ще извършва проверка на пътните превозни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 При установена по този ред липса на действащ застрахователен договор за задължителна застраховка „Гражданска отговорност“ на автомобилистите Министерството на вътрешните работи ще получава от Агенция „Пътна инфраструктура“ статични изображения във вид на снимков материал от преминаването, засечено от електронната система за </w:t>
      </w:r>
      <w:r>
        <w:lastRenderedPageBreak/>
        <w:t>събиране на пътни такси по чл. 10, ал. 1 от Закона за пътищата, представляващи доказателство за движението на пътното превозно средство по републиканската пътна мрежа на датата и часа от снимката, която съдържа и уникален идентификатор на техническото средство, извършило заснемането. Тези промени ще влязат в сила от 7 февруари 2026 г. Обменът на тази информация също следва да се извършва при условия и по ред, определени с инструкцията по чл. 167а, ал. 7 от ЗДвП.</w:t>
      </w:r>
    </w:p>
    <w:p w14:paraId="3557F1A1" w14:textId="77777777" w:rsidR="00E505E8" w:rsidRDefault="00C46598">
      <w:pPr>
        <w:pStyle w:val="BodyText"/>
        <w:spacing w:after="300"/>
        <w:ind w:firstLine="860"/>
        <w:jc w:val="both"/>
      </w:pPr>
      <w:r>
        <w:t>Горните законодателни промени налагат актуализация на подзаконовия нормативен акт, уреждащ въпросите свързани с обмена на информация между Агенция „Пътна инфраструктура“, Министерството на вътрешните работи и Агенция „Митници“.</w:t>
      </w:r>
    </w:p>
    <w:p w14:paraId="09DD8ED3" w14:textId="77777777" w:rsidR="00E505E8" w:rsidRDefault="00C46598">
      <w:pPr>
        <w:pStyle w:val="BodyText"/>
        <w:numPr>
          <w:ilvl w:val="0"/>
          <w:numId w:val="14"/>
        </w:numPr>
        <w:tabs>
          <w:tab w:val="left" w:pos="1187"/>
        </w:tabs>
        <w:spacing w:line="295" w:lineRule="auto"/>
        <w:ind w:firstLine="860"/>
        <w:jc w:val="both"/>
      </w:pPr>
      <w:bookmarkStart w:id="4" w:name="bookmark81"/>
      <w:bookmarkEnd w:id="4"/>
      <w:r>
        <w:t>Целите, които се поставят.</w:t>
      </w:r>
    </w:p>
    <w:p w14:paraId="13BCE642" w14:textId="77777777" w:rsidR="00E505E8" w:rsidRDefault="00C46598">
      <w:pPr>
        <w:pStyle w:val="BodyText"/>
        <w:spacing w:line="295" w:lineRule="auto"/>
        <w:ind w:firstLine="860"/>
        <w:jc w:val="both"/>
      </w:pPr>
      <w:r>
        <w:t>С проекта се цели на първо място уреждане на въпросите, свързани с обмена на информация между МВР и АПИ за нуждите на правоприлагането при контролиране на превишаването на средната скорост и конкретизиране на необходимите детайли относно обменяните данни. Цели се да се осигури необходимата сигурност и качество на обменяната информация.</w:t>
      </w:r>
    </w:p>
    <w:p w14:paraId="50DA2EE4" w14:textId="77777777" w:rsidR="00E505E8" w:rsidRDefault="00C46598">
      <w:pPr>
        <w:pStyle w:val="BodyText"/>
        <w:spacing w:line="295" w:lineRule="auto"/>
        <w:ind w:firstLine="860"/>
        <w:jc w:val="both"/>
      </w:pPr>
      <w:r>
        <w:t>Следваща цел с повишаване на способите за контрол и определяне на обменяната информация е броят на незастраховани превозни средства да намалеят в годините напред благодарение на наложените наказания за неизпълнение на задължението за сключване на задължителна застраховка „Гражданска отговорност“ на автомобилистите.</w:t>
      </w:r>
    </w:p>
    <w:p w14:paraId="5D45D484" w14:textId="77777777" w:rsidR="00E505E8" w:rsidRDefault="00C46598">
      <w:pPr>
        <w:pStyle w:val="BodyText"/>
        <w:spacing w:after="300" w:line="295" w:lineRule="auto"/>
        <w:ind w:firstLine="860"/>
        <w:jc w:val="both"/>
      </w:pPr>
      <w:r>
        <w:t>С предлаганите промени се цели регламентиране на обмена на данни, който митническите органи имат право да получават за осъществяване на митнически контрол и надзор върху стоките, транспортните средства и лицата на територията на Република България.</w:t>
      </w:r>
    </w:p>
    <w:p w14:paraId="5AF6B72D" w14:textId="77777777" w:rsidR="00E505E8" w:rsidRDefault="00C46598">
      <w:pPr>
        <w:pStyle w:val="BodyText"/>
        <w:numPr>
          <w:ilvl w:val="0"/>
          <w:numId w:val="14"/>
        </w:numPr>
        <w:tabs>
          <w:tab w:val="left" w:pos="1259"/>
        </w:tabs>
        <w:spacing w:line="295" w:lineRule="auto"/>
        <w:ind w:firstLine="860"/>
        <w:jc w:val="both"/>
      </w:pPr>
      <w:bookmarkStart w:id="5" w:name="bookmark82"/>
      <w:bookmarkEnd w:id="5"/>
      <w:r>
        <w:t>Финансови и други средства, необходими за прилагането на новата уредба</w:t>
      </w:r>
    </w:p>
    <w:p w14:paraId="45DE106A" w14:textId="77777777" w:rsidR="00E505E8" w:rsidRDefault="00C46598">
      <w:pPr>
        <w:pStyle w:val="BodyText"/>
        <w:spacing w:line="295" w:lineRule="auto"/>
        <w:ind w:firstLine="860"/>
        <w:jc w:val="both"/>
      </w:pPr>
      <w:r>
        <w:t>За приемането на проекта на Инструкция не са необходими допълнителни разходи/трансфери и други плащания, които да бъдат одобрени по бюджета на Агенция „Пътна инфраструктура“, Министерството на вътрешните работи и Агенция „Митници“ за сметка на бюджети по държавния бюджет.</w:t>
      </w:r>
    </w:p>
    <w:p w14:paraId="73288EE4" w14:textId="77777777" w:rsidR="00E505E8" w:rsidRDefault="00C46598">
      <w:pPr>
        <w:pStyle w:val="BodyText"/>
        <w:spacing w:line="295" w:lineRule="auto"/>
        <w:ind w:firstLine="860"/>
        <w:jc w:val="both"/>
      </w:pPr>
      <w:r>
        <w:t>Прилагането на проекта на инструкция ще се изпълнява в рамките на утвърдените бюджети на ведомствата за съответната година.</w:t>
      </w:r>
    </w:p>
    <w:p w14:paraId="75FEBF9B" w14:textId="77777777" w:rsidR="00E505E8" w:rsidRDefault="00C46598">
      <w:pPr>
        <w:pStyle w:val="BodyText"/>
        <w:spacing w:after="300" w:line="295" w:lineRule="auto"/>
        <w:ind w:firstLine="860"/>
        <w:jc w:val="both"/>
      </w:pPr>
      <w:r>
        <w:t>Предложеният проект на акт не води до въздействие върху държавния бюджет.</w:t>
      </w:r>
    </w:p>
    <w:p w14:paraId="49098409" w14:textId="77777777" w:rsidR="00E505E8" w:rsidRDefault="00C46598">
      <w:pPr>
        <w:pStyle w:val="BodyText"/>
        <w:numPr>
          <w:ilvl w:val="0"/>
          <w:numId w:val="14"/>
        </w:numPr>
        <w:tabs>
          <w:tab w:val="left" w:pos="1281"/>
        </w:tabs>
        <w:spacing w:line="295" w:lineRule="auto"/>
        <w:ind w:firstLine="860"/>
        <w:jc w:val="both"/>
      </w:pPr>
      <w:bookmarkStart w:id="6" w:name="bookmark83"/>
      <w:bookmarkEnd w:id="6"/>
      <w:r>
        <w:t>Очаквани резултати от прилагането.</w:t>
      </w:r>
    </w:p>
    <w:p w14:paraId="0D1B2850" w14:textId="77777777" w:rsidR="00E505E8" w:rsidRDefault="00C46598">
      <w:pPr>
        <w:pStyle w:val="BodyText"/>
        <w:spacing w:after="300" w:line="295" w:lineRule="auto"/>
        <w:ind w:firstLine="860"/>
        <w:jc w:val="both"/>
      </w:pPr>
      <w:r>
        <w:t>Очаква се да се осигурят качествени механизми за обмен на информация за нуждите на правоприлагането при осъществяване на контрол за спазване на ограниченията на скоростта, прогласени от ЗДвП, за наличието на сключен и действащ договор за задължителна застраховка „Гражданска отговорност“ на автомобилистите и осъществяване на митнически контрол и надзор върху стоките, транспортните средства и лицата на територията на Република България .</w:t>
      </w:r>
    </w:p>
    <w:p w14:paraId="65E62CC6" w14:textId="77777777" w:rsidR="00E505E8" w:rsidRDefault="00C46598">
      <w:pPr>
        <w:pStyle w:val="BodyText"/>
        <w:numPr>
          <w:ilvl w:val="0"/>
          <w:numId w:val="14"/>
        </w:numPr>
        <w:tabs>
          <w:tab w:val="left" w:pos="1185"/>
        </w:tabs>
        <w:spacing w:line="295" w:lineRule="auto"/>
        <w:ind w:firstLine="840"/>
        <w:jc w:val="both"/>
      </w:pPr>
      <w:bookmarkStart w:id="7" w:name="bookmark84"/>
      <w:bookmarkEnd w:id="7"/>
      <w:r>
        <w:t>Анализ за съответствие с правото на Европейския съюз.</w:t>
      </w:r>
    </w:p>
    <w:p w14:paraId="4A508C1C" w14:textId="77777777" w:rsidR="00E505E8" w:rsidRDefault="00C46598">
      <w:pPr>
        <w:pStyle w:val="BodyText"/>
        <w:spacing w:line="295" w:lineRule="auto"/>
        <w:ind w:firstLine="840"/>
        <w:jc w:val="both"/>
      </w:pPr>
      <w:r>
        <w:t>Разглежданата материя не попада в изключителната или споделената компетентност на Европейския съюз (чл. 3 и чл. 4 от Договора за функционирането на Европейския съюз) и съответно е предмет на националноправна уредба в отделните държави членки на ЕС.</w:t>
      </w:r>
    </w:p>
    <w:p w14:paraId="0F1BE265" w14:textId="0498BA08" w:rsidR="00E505E8" w:rsidRDefault="00C46598">
      <w:pPr>
        <w:pStyle w:val="BodyText"/>
        <w:spacing w:after="160" w:line="295" w:lineRule="auto"/>
        <w:ind w:firstLine="840"/>
        <w:jc w:val="both"/>
      </w:pPr>
      <w:r>
        <w:t>С оглед на това, с проекта не се предвижда въвеждане на европейско законодателство, поради което не е приложена таблица за съответствие с европейското право.</w:t>
      </w:r>
    </w:p>
    <w:sectPr w:rsidR="00E505E8">
      <w:type w:val="continuous"/>
      <w:pgSz w:w="11900" w:h="16840"/>
      <w:pgMar w:top="1305" w:right="615" w:bottom="1375" w:left="1259"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51D17" w16cid:durableId="2CB89A60"/>
  <w16cid:commentId w16cid:paraId="4A5474BD" w16cid:durableId="2CB89A61"/>
  <w16cid:commentId w16cid:paraId="73A348EA" w16cid:durableId="2CB89A62"/>
  <w16cid:commentId w16cid:paraId="75D7A897" w16cid:durableId="2CB89A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146E3" w14:textId="77777777" w:rsidR="00D86DFF" w:rsidRDefault="00D86DFF">
      <w:r>
        <w:separator/>
      </w:r>
    </w:p>
  </w:endnote>
  <w:endnote w:type="continuationSeparator" w:id="0">
    <w:p w14:paraId="4D736ACB" w14:textId="77777777" w:rsidR="00D86DFF" w:rsidRDefault="00D8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8F4D2" w14:textId="77777777" w:rsidR="00D86DFF" w:rsidRDefault="00D86DFF"/>
  </w:footnote>
  <w:footnote w:type="continuationSeparator" w:id="0">
    <w:p w14:paraId="4B7228E7" w14:textId="77777777" w:rsidR="00D86DFF" w:rsidRDefault="00D86DF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23E0"/>
    <w:multiLevelType w:val="multilevel"/>
    <w:tmpl w:val="E3E0C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9723C"/>
    <w:multiLevelType w:val="multilevel"/>
    <w:tmpl w:val="8B420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D540BF"/>
    <w:multiLevelType w:val="multilevel"/>
    <w:tmpl w:val="20223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76C6E"/>
    <w:multiLevelType w:val="multilevel"/>
    <w:tmpl w:val="09F2D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8717A"/>
    <w:multiLevelType w:val="hybridMultilevel"/>
    <w:tmpl w:val="DE342470"/>
    <w:lvl w:ilvl="0" w:tplc="BC1E55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CC826B3"/>
    <w:multiLevelType w:val="multilevel"/>
    <w:tmpl w:val="A7DE8BD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D908E7"/>
    <w:multiLevelType w:val="multilevel"/>
    <w:tmpl w:val="B8705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B80835"/>
    <w:multiLevelType w:val="multilevel"/>
    <w:tmpl w:val="19DC5A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1968A8"/>
    <w:multiLevelType w:val="multilevel"/>
    <w:tmpl w:val="8F4CC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6B4DEC"/>
    <w:multiLevelType w:val="multilevel"/>
    <w:tmpl w:val="49A22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3855EB"/>
    <w:multiLevelType w:val="multilevel"/>
    <w:tmpl w:val="A34AF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0E2DFD"/>
    <w:multiLevelType w:val="multilevel"/>
    <w:tmpl w:val="E3C81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430923"/>
    <w:multiLevelType w:val="hybridMultilevel"/>
    <w:tmpl w:val="6C961E64"/>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3" w15:restartNumberingAfterBreak="0">
    <w:nsid w:val="71FA5B96"/>
    <w:multiLevelType w:val="multilevel"/>
    <w:tmpl w:val="82A6840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CB1B46"/>
    <w:multiLevelType w:val="multilevel"/>
    <w:tmpl w:val="27789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E67EC4"/>
    <w:multiLevelType w:val="multilevel"/>
    <w:tmpl w:val="F5706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8"/>
  </w:num>
  <w:num w:numId="4">
    <w:abstractNumId w:val="3"/>
  </w:num>
  <w:num w:numId="5">
    <w:abstractNumId w:val="13"/>
  </w:num>
  <w:num w:numId="6">
    <w:abstractNumId w:val="11"/>
  </w:num>
  <w:num w:numId="7">
    <w:abstractNumId w:val="1"/>
  </w:num>
  <w:num w:numId="8">
    <w:abstractNumId w:val="15"/>
  </w:num>
  <w:num w:numId="9">
    <w:abstractNumId w:val="6"/>
  </w:num>
  <w:num w:numId="10">
    <w:abstractNumId w:val="14"/>
  </w:num>
  <w:num w:numId="11">
    <w:abstractNumId w:val="2"/>
  </w:num>
  <w:num w:numId="12">
    <w:abstractNumId w:val="0"/>
  </w:num>
  <w:num w:numId="13">
    <w:abstractNumId w:val="10"/>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E8"/>
    <w:rsid w:val="00004C83"/>
    <w:rsid w:val="00021BB9"/>
    <w:rsid w:val="0004749D"/>
    <w:rsid w:val="0009389E"/>
    <w:rsid w:val="000D7442"/>
    <w:rsid w:val="001502B4"/>
    <w:rsid w:val="001520B8"/>
    <w:rsid w:val="00163523"/>
    <w:rsid w:val="001934D3"/>
    <w:rsid w:val="00193E3E"/>
    <w:rsid w:val="002031B4"/>
    <w:rsid w:val="00280D8F"/>
    <w:rsid w:val="002A6330"/>
    <w:rsid w:val="002B0FE6"/>
    <w:rsid w:val="00337F22"/>
    <w:rsid w:val="00341929"/>
    <w:rsid w:val="003B21BC"/>
    <w:rsid w:val="004003A1"/>
    <w:rsid w:val="004004DA"/>
    <w:rsid w:val="0040156B"/>
    <w:rsid w:val="00406911"/>
    <w:rsid w:val="004C29E1"/>
    <w:rsid w:val="005D533B"/>
    <w:rsid w:val="0064260B"/>
    <w:rsid w:val="00643554"/>
    <w:rsid w:val="00651D13"/>
    <w:rsid w:val="00667775"/>
    <w:rsid w:val="006E3CCF"/>
    <w:rsid w:val="00754C2A"/>
    <w:rsid w:val="007B5C55"/>
    <w:rsid w:val="00805F39"/>
    <w:rsid w:val="00866C54"/>
    <w:rsid w:val="00A90D54"/>
    <w:rsid w:val="00AA002D"/>
    <w:rsid w:val="00AC5CC4"/>
    <w:rsid w:val="00AD4334"/>
    <w:rsid w:val="00B4320A"/>
    <w:rsid w:val="00B63556"/>
    <w:rsid w:val="00B72066"/>
    <w:rsid w:val="00BA1FE3"/>
    <w:rsid w:val="00BB2DFD"/>
    <w:rsid w:val="00BC10E7"/>
    <w:rsid w:val="00BE367C"/>
    <w:rsid w:val="00BF38E9"/>
    <w:rsid w:val="00C0726F"/>
    <w:rsid w:val="00C46598"/>
    <w:rsid w:val="00C61D33"/>
    <w:rsid w:val="00C63D98"/>
    <w:rsid w:val="00C7324B"/>
    <w:rsid w:val="00CD2A57"/>
    <w:rsid w:val="00D419A0"/>
    <w:rsid w:val="00D86DFF"/>
    <w:rsid w:val="00E02415"/>
    <w:rsid w:val="00E505E8"/>
    <w:rsid w:val="00EB06D3"/>
    <w:rsid w:val="00ED14AB"/>
    <w:rsid w:val="00ED3A91"/>
    <w:rsid w:val="00EE3337"/>
    <w:rsid w:val="00EE409A"/>
    <w:rsid w:val="00FB1F75"/>
    <w:rsid w:val="00FD4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A18C"/>
  <w15:docId w15:val="{ECED5684-9100-403B-9BF9-92423636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4"/>
      <w:szCs w:val="34"/>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32"/>
      <w:szCs w:val="32"/>
      <w:u w:val="none"/>
      <w:shd w:val="clear" w:color="auto" w:fill="auto"/>
    </w:rPr>
  </w:style>
  <w:style w:type="paragraph" w:styleId="BodyText">
    <w:name w:val="Body Text"/>
    <w:basedOn w:val="Normal"/>
    <w:link w:val="BodyTextChar"/>
    <w:qFormat/>
    <w:pPr>
      <w:spacing w:line="298" w:lineRule="auto"/>
      <w:ind w:firstLine="400"/>
    </w:pPr>
    <w:rPr>
      <w:rFonts w:ascii="Times New Roman" w:eastAsia="Times New Roman" w:hAnsi="Times New Roman" w:cs="Times New Roman"/>
      <w:sz w:val="22"/>
      <w:szCs w:val="22"/>
    </w:rPr>
  </w:style>
  <w:style w:type="paragraph" w:customStyle="1" w:styleId="Heading10">
    <w:name w:val="Heading #1"/>
    <w:basedOn w:val="Normal"/>
    <w:link w:val="Heading1"/>
    <w:pPr>
      <w:spacing w:after="40"/>
      <w:jc w:val="center"/>
      <w:outlineLvl w:val="0"/>
    </w:pPr>
    <w:rPr>
      <w:rFonts w:ascii="Times New Roman" w:eastAsia="Times New Roman" w:hAnsi="Times New Roman" w:cs="Times New Roman"/>
      <w:b/>
      <w:bCs/>
      <w:sz w:val="34"/>
      <w:szCs w:val="34"/>
    </w:rPr>
  </w:style>
  <w:style w:type="paragraph" w:customStyle="1" w:styleId="Heading30">
    <w:name w:val="Heading #3"/>
    <w:basedOn w:val="Normal"/>
    <w:link w:val="Heading3"/>
    <w:pPr>
      <w:spacing w:after="180"/>
      <w:jc w:val="center"/>
      <w:outlineLvl w:val="2"/>
    </w:pPr>
    <w:rPr>
      <w:rFonts w:ascii="Times New Roman" w:eastAsia="Times New Roman" w:hAnsi="Times New Roman" w:cs="Times New Roman"/>
      <w:b/>
      <w:bCs/>
      <w:sz w:val="30"/>
      <w:szCs w:val="30"/>
    </w:rPr>
  </w:style>
  <w:style w:type="paragraph" w:customStyle="1" w:styleId="Heading20">
    <w:name w:val="Heading #2"/>
    <w:basedOn w:val="Normal"/>
    <w:link w:val="Heading2"/>
    <w:pPr>
      <w:spacing w:after="340"/>
      <w:jc w:val="center"/>
      <w:outlineLvl w:val="1"/>
    </w:pPr>
    <w:rPr>
      <w:rFonts w:ascii="Times New Roman" w:eastAsia="Times New Roman" w:hAnsi="Times New Roman" w:cs="Times New Roman"/>
      <w:sz w:val="32"/>
      <w:szCs w:val="32"/>
    </w:rPr>
  </w:style>
  <w:style w:type="character" w:styleId="CommentReference">
    <w:name w:val="annotation reference"/>
    <w:basedOn w:val="DefaultParagraphFont"/>
    <w:uiPriority w:val="99"/>
    <w:semiHidden/>
    <w:unhideWhenUsed/>
    <w:rsid w:val="0009389E"/>
    <w:rPr>
      <w:sz w:val="16"/>
      <w:szCs w:val="16"/>
    </w:rPr>
  </w:style>
  <w:style w:type="paragraph" w:styleId="CommentText">
    <w:name w:val="annotation text"/>
    <w:basedOn w:val="Normal"/>
    <w:link w:val="CommentTextChar"/>
    <w:uiPriority w:val="99"/>
    <w:semiHidden/>
    <w:unhideWhenUsed/>
    <w:rsid w:val="0009389E"/>
    <w:rPr>
      <w:sz w:val="20"/>
      <w:szCs w:val="20"/>
    </w:rPr>
  </w:style>
  <w:style w:type="character" w:customStyle="1" w:styleId="CommentTextChar">
    <w:name w:val="Comment Text Char"/>
    <w:basedOn w:val="DefaultParagraphFont"/>
    <w:link w:val="CommentText"/>
    <w:uiPriority w:val="99"/>
    <w:semiHidden/>
    <w:rsid w:val="0009389E"/>
    <w:rPr>
      <w:color w:val="000000"/>
      <w:sz w:val="20"/>
      <w:szCs w:val="20"/>
    </w:rPr>
  </w:style>
  <w:style w:type="paragraph" w:styleId="CommentSubject">
    <w:name w:val="annotation subject"/>
    <w:basedOn w:val="CommentText"/>
    <w:next w:val="CommentText"/>
    <w:link w:val="CommentSubjectChar"/>
    <w:uiPriority w:val="99"/>
    <w:semiHidden/>
    <w:unhideWhenUsed/>
    <w:rsid w:val="0009389E"/>
    <w:rPr>
      <w:b/>
      <w:bCs/>
    </w:rPr>
  </w:style>
  <w:style w:type="character" w:customStyle="1" w:styleId="CommentSubjectChar">
    <w:name w:val="Comment Subject Char"/>
    <w:basedOn w:val="CommentTextChar"/>
    <w:link w:val="CommentSubject"/>
    <w:uiPriority w:val="99"/>
    <w:semiHidden/>
    <w:rsid w:val="0009389E"/>
    <w:rPr>
      <w:b/>
      <w:bCs/>
      <w:color w:val="000000"/>
      <w:sz w:val="20"/>
      <w:szCs w:val="20"/>
    </w:rPr>
  </w:style>
  <w:style w:type="paragraph" w:styleId="BalloonText">
    <w:name w:val="Balloon Text"/>
    <w:basedOn w:val="Normal"/>
    <w:link w:val="BalloonTextChar"/>
    <w:uiPriority w:val="99"/>
    <w:semiHidden/>
    <w:unhideWhenUsed/>
    <w:rsid w:val="00093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9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BGToll</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SLAVEA PETROVA VASILEVA</dc:creator>
  <cp:lastModifiedBy>Ani I. Tsvetkova</cp:lastModifiedBy>
  <cp:revision>3</cp:revision>
  <dcterms:created xsi:type="dcterms:W3CDTF">2025-11-13T07:31:00Z</dcterms:created>
  <dcterms:modified xsi:type="dcterms:W3CDTF">2025-11-13T08:17:00Z</dcterms:modified>
</cp:coreProperties>
</file>